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一、招标单位：辰胜集成科技股份有限公司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1、工程名称：</w:t>
      </w:r>
      <w:r>
        <w:rPr>
          <w:rFonts w:hint="eastAsia" w:asciiTheme="minorEastAsia" w:hAnsiTheme="minorEastAsia" w:eastAsiaTheme="minorEastAsia" w:cstheme="minorEastAsia"/>
          <w:u w:val="single"/>
        </w:rPr>
        <w:t xml:space="preserve"> 4#船坞东单元车间屋面通风天窗安装工程 </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sz w:val="32"/>
          <w:szCs w:val="32"/>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rPr>
        <w:t xml:space="preserve"> 大连</w:t>
      </w:r>
      <w:r>
        <w:rPr>
          <w:rFonts w:hint="eastAsia" w:asciiTheme="minorEastAsia" w:hAnsiTheme="minorEastAsia" w:eastAsiaTheme="minorEastAsia" w:cstheme="minorEastAsia"/>
          <w:u w:val="single"/>
          <w:lang w:val="en-US" w:eastAsia="zh-CN"/>
        </w:rPr>
        <w:t>长兴岛</w:t>
      </w:r>
    </w:p>
    <w:p w14:paraId="39D0D417">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3、建筑面积：</w:t>
      </w:r>
      <w:r>
        <w:rPr>
          <w:rFonts w:hint="eastAsia"/>
        </w:rPr>
        <w:t>（参照图纸设计要求）。</w:t>
      </w:r>
    </w:p>
    <w:p w14:paraId="0AF56F6F">
      <w:pPr>
        <w:pStyle w:val="8"/>
        <w:adjustRightInd w:val="0"/>
        <w:snapToGrid w:val="0"/>
        <w:spacing w:before="75" w:beforeAutospacing="0" w:after="75" w:afterAutospacing="0" w:line="360" w:lineRule="auto"/>
        <w:ind w:firstLine="480" w:firstLineChars="200"/>
        <w:contextualSpacing/>
        <w:rPr>
          <w:rFonts w:hint="eastAsia"/>
          <w:color w:val="000000"/>
          <w:u w:val="single"/>
        </w:rPr>
      </w:pPr>
      <w:r>
        <w:rPr>
          <w:rFonts w:hint="eastAsia" w:asciiTheme="minorEastAsia" w:hAnsiTheme="minorEastAsia" w:eastAsiaTheme="minorEastAsia" w:cstheme="minorEastAsia"/>
        </w:rPr>
        <w:t>4、招标范围：</w:t>
      </w:r>
      <w:r>
        <w:rPr>
          <w:rFonts w:hint="eastAsia"/>
          <w:color w:val="000000"/>
        </w:rPr>
        <w:t>本工程主要施工内容：</w:t>
      </w:r>
      <w:r>
        <w:rPr>
          <w:rFonts w:hint="eastAsia"/>
          <w:color w:val="000000"/>
          <w:u w:val="single"/>
        </w:rPr>
        <w:t xml:space="preserve"> 本项目招标单位与建设单位承建的一切与</w:t>
      </w:r>
      <w:r>
        <w:rPr>
          <w:rFonts w:hint="eastAsia" w:asciiTheme="minorEastAsia" w:hAnsiTheme="minorEastAsia" w:eastAsiaTheme="minorEastAsia" w:cstheme="minorEastAsia"/>
          <w:u w:val="single"/>
        </w:rPr>
        <w:t>4#船坞东单元车间屋面通风天窗安装工程</w:t>
      </w:r>
      <w:r>
        <w:rPr>
          <w:rFonts w:hint="eastAsia"/>
          <w:color w:val="000000"/>
          <w:u w:val="single"/>
        </w:rPr>
        <w:t xml:space="preserve">相关的施工内容 </w:t>
      </w:r>
    </w:p>
    <w:p w14:paraId="5FCBB267">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4.1、专业分包：</w:t>
      </w:r>
      <w:r>
        <w:rPr>
          <w:rFonts w:hint="eastAsia" w:asciiTheme="minorEastAsia" w:hAnsiTheme="minorEastAsia" w:eastAsiaTheme="minorEastAsia" w:cstheme="minorEastAsia"/>
        </w:rPr>
        <w:t>厂房屋面通风气楼工程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5、进度要求：工程工期为</w:t>
      </w:r>
      <w:r>
        <w:rPr>
          <w:rFonts w:hint="eastAsia" w:asciiTheme="minorEastAsia" w:hAnsiTheme="minorEastAsia" w:eastAsiaTheme="minorEastAsia" w:cstheme="minorEastAsia"/>
          <w:u w:val="single"/>
        </w:rPr>
        <w:t>20</w:t>
      </w:r>
      <w:r>
        <w:rPr>
          <w:rFonts w:hint="eastAsia" w:asciiTheme="minorEastAsia" w:hAnsiTheme="minorEastAsia" w:eastAsiaTheme="minorEastAsia" w:cstheme="minorEastAsia"/>
        </w:rPr>
        <w:t>天，</w:t>
      </w:r>
      <w:r>
        <w:rPr>
          <w:rFonts w:hint="eastAsia" w:cs="Arial"/>
        </w:rPr>
        <w:t>工程的</w:t>
      </w:r>
      <w:r>
        <w:rPr>
          <w:rFonts w:hint="eastAsia" w:cs="Arial"/>
          <w:lang w:val="zh-CN"/>
        </w:rPr>
        <w:t>计划开工日期：</w:t>
      </w:r>
      <w:r>
        <w:rPr>
          <w:rFonts w:hint="eastAsia" w:asciiTheme="minorEastAsia" w:hAnsiTheme="minorEastAsia" w:eastAsiaTheme="minorEastAsia" w:cstheme="minorEastAsia"/>
          <w:u w:val="single"/>
        </w:rPr>
        <w:t>满足项目实际进度要求，具体以实际开工日期为准。</w:t>
      </w:r>
      <w:r>
        <w:rPr>
          <w:rFonts w:hint="eastAsia" w:cs="Arial"/>
        </w:rPr>
        <w:t>中标单位施工满足招标人要求，做到夜间施工。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6、安全要求：</w:t>
      </w:r>
    </w:p>
    <w:p w14:paraId="4E2449E1">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6.1、在项目合同签订后进场前，必须为所属人员至少办理保额为100万元/人的意外伤害身故和10万元/人的意外伤害医疗保险；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lang w:val="zh-CN"/>
        </w:rPr>
      </w:pPr>
      <w:r>
        <w:rPr>
          <w:rFonts w:hint="eastAsia"/>
          <w:color w:val="000000"/>
        </w:rPr>
        <w:t>6.2、</w:t>
      </w:r>
      <w:r>
        <w:rPr>
          <w:rFonts w:hint="eastAsia"/>
          <w:color w:val="000000"/>
          <w:lang w:val="zh-CN"/>
        </w:rPr>
        <w:t>在项目开工前，中标单位须为其招收的务工人员办理所需的一切必要法规手续、相关保险和证件（建筑电工、焊工证、起重信号司索工、架子工、人货电梯操作证、搭吊司机等）。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rPr>
      </w:pPr>
      <w:r>
        <w:rPr>
          <w:rFonts w:hint="eastAsia"/>
          <w:color w:val="000000"/>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6.5</w:t>
      </w:r>
      <w:r>
        <w:rPr>
          <w:rFonts w:hint="eastAsia" w:asciiTheme="minorEastAsia" w:hAnsi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6.6、</w:t>
      </w:r>
      <w:r>
        <w:rPr>
          <w:rFonts w:hint="eastAsia" w:asciiTheme="minorEastAsia" w:hAnsi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color w:val="000000"/>
          <w:sz w:val="24"/>
          <w:szCs w:val="24"/>
          <w:u w:val="single"/>
        </w:rPr>
      </w:pPr>
      <w:r>
        <w:rPr>
          <w:rFonts w:hint="eastAsia" w:asciiTheme="minorEastAsia" w:hAnsiTheme="minorEastAsia" w:cstheme="minorEastAsia"/>
          <w:kern w:val="0"/>
          <w:sz w:val="24"/>
          <w:szCs w:val="24"/>
          <w:u w:val="single"/>
        </w:rPr>
        <w:t>6.7、中标</w:t>
      </w:r>
      <w:r>
        <w:rPr>
          <w:rFonts w:hint="eastAsia" w:asciiTheme="minorEastAsia" w:hAnsiTheme="minorEastAsia" w:cstheme="minorEastAsia"/>
          <w:color w:val="000000"/>
          <w:sz w:val="24"/>
          <w:szCs w:val="24"/>
          <w:u w:val="single"/>
        </w:rPr>
        <w:t>单位进场施工之前必须记录考勤，每月按实发放农民工工资，不得故意或恶意拖欠农民工工资、鼓励农民工闹事，如发生此类事件给我公司造成影响或经济损失的，我公司将其清退，并不再与其发生合作关系。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color w:val="000000"/>
          <w:sz w:val="24"/>
          <w:szCs w:val="24"/>
        </w:rPr>
      </w:pPr>
      <w:r>
        <w:rPr>
          <w:rFonts w:hint="eastAsia" w:asciiTheme="minorEastAsia" w:hAnsiTheme="minorEastAsia" w:cstheme="minorEastAsia"/>
          <w:color w:val="000000"/>
          <w:sz w:val="24"/>
          <w:szCs w:val="24"/>
          <w:u w:val="single"/>
        </w:rPr>
        <w:t>6，8、</w:t>
      </w:r>
      <w:r>
        <w:rPr>
          <w:rFonts w:hint="eastAsia" w:asciiTheme="minorEastAsia" w:hAnsi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szCs w:val="24"/>
        </w:rPr>
        <w:t>7、质量要求：</w:t>
      </w:r>
      <w:r>
        <w:rPr>
          <w:rFonts w:hint="eastAsia" w:asciiTheme="minorEastAsia" w:hAnsiTheme="minorEastAsia" w:cstheme="minorEastAsia"/>
          <w:sz w:val="24"/>
          <w:u w:val="single"/>
          <w:lang w:val="zh-CN"/>
        </w:rPr>
        <w:t xml:space="preserve"> </w:t>
      </w:r>
      <w:r>
        <w:rPr>
          <w:rFonts w:hint="eastAsia" w:asciiTheme="minorEastAsia" w:hAnsiTheme="minorEastAsia" w:cstheme="minorEastAsia"/>
          <w:sz w:val="24"/>
          <w:u w:val="single"/>
        </w:rPr>
        <w:t>符合承包合同有关质量的约定，实测实量合格率达到100%，工程质量合格。</w:t>
      </w:r>
    </w:p>
    <w:p w14:paraId="74426E83">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u w:val="single"/>
        </w:rPr>
        <w:t>7.2、</w:t>
      </w:r>
      <w:r>
        <w:rPr>
          <w:rFonts w:hint="eastAsia" w:asciiTheme="minorEastAsia" w:hAnsiTheme="minorEastAsia" w:cstheme="minorEastAsia"/>
          <w:sz w:val="24"/>
          <w:u w:val="single"/>
          <w:lang w:val="zh-CN"/>
        </w:rPr>
        <w:t>投标人应认真按照招标人安排组织施工，按规定进行隐蔽、中间工程验收及交工验收，随时接受建设单位、监理单位、招标人施工管理人员及</w:t>
      </w:r>
      <w:r>
        <w:rPr>
          <w:rFonts w:hint="eastAsia" w:asciiTheme="minorEastAsia" w:hAnsiTheme="minorEastAsia" w:cstheme="minorEastAsia"/>
          <w:sz w:val="24"/>
          <w:u w:val="single"/>
        </w:rPr>
        <w:t>政府</w:t>
      </w:r>
      <w:r>
        <w:rPr>
          <w:rFonts w:hint="eastAsia" w:asciiTheme="minorEastAsia" w:hAnsiTheme="minorEastAsia" w:cstheme="minorEastAsia"/>
          <w:sz w:val="24"/>
          <w:u w:val="single"/>
          <w:lang w:val="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7</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3</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中标</w:t>
      </w:r>
      <w:r>
        <w:rPr>
          <w:rFonts w:hint="eastAsia" w:asciiTheme="minorEastAsia" w:hAnsi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ind w:firstLine="480"/>
        <w:rPr>
          <w:rFonts w:eastAsiaTheme="minorEastAsia"/>
        </w:rPr>
      </w:pPr>
      <w:r>
        <w:rPr>
          <w:rFonts w:hint="eastAsia" w:asciiTheme="minorEastAsia" w:hAnsiTheme="minorEastAsia" w:eastAsiaTheme="minorEastAsia" w:cstheme="minorEastAsia"/>
          <w:sz w:val="24"/>
          <w:szCs w:val="24"/>
          <w:u w:val="single"/>
        </w:rPr>
        <w:t>7.4、该工程检测费用，一次性检测合格由建设单位承担，二次复检由投标单位承担。</w:t>
      </w:r>
    </w:p>
    <w:p w14:paraId="4935C356">
      <w:pPr>
        <w:pStyle w:val="2"/>
        <w:ind w:firstLine="482"/>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三、招标文件获取方式：</w:t>
      </w:r>
    </w:p>
    <w:p w14:paraId="6AAAD08D">
      <w:pPr>
        <w:pStyle w:val="2"/>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详见公司官网招标公告，下载附件及施工图纸。</w:t>
      </w:r>
    </w:p>
    <w:p w14:paraId="44D6A240">
      <w:pPr>
        <w:pStyle w:val="2"/>
        <w:ind w:firstLine="482"/>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四</w:t>
      </w:r>
      <w:r>
        <w:rPr>
          <w:rFonts w:hint="eastAsia" w:asciiTheme="minorEastAsia" w:hAnsiTheme="minorEastAsia" w:eastAsiaTheme="minorEastAsia" w:cstheme="minorEastAsia"/>
          <w:b/>
          <w:bCs/>
          <w:color w:val="000000"/>
          <w:sz w:val="24"/>
          <w:szCs w:val="24"/>
          <w:lang w:val="zh-CN"/>
        </w:rPr>
        <w:t>、标书组成内容</w:t>
      </w:r>
      <w:r>
        <w:rPr>
          <w:rFonts w:hint="eastAsia" w:asciiTheme="minorEastAsia" w:hAnsiTheme="minorEastAsia" w:eastAsiaTheme="minorEastAsia" w:cstheme="minorEastAsia"/>
          <w:b/>
          <w:bCs/>
          <w:color w:val="000000"/>
          <w:sz w:val="24"/>
          <w:szCs w:val="24"/>
        </w:rPr>
        <w:t>:</w:t>
      </w:r>
    </w:p>
    <w:p w14:paraId="66E764D5">
      <w:pPr>
        <w:pStyle w:val="2"/>
        <w:ind w:firstLine="482"/>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 xml:space="preserve">  </w:t>
      </w:r>
      <w:r>
        <w:rPr>
          <w:rFonts w:hint="eastAsia" w:asciiTheme="minorEastAsia" w:hAnsiTheme="minorEastAsia" w:eastAsiaTheme="minorEastAsia" w:cstheme="minorEastAsia"/>
          <w:color w:val="000000"/>
          <w:sz w:val="24"/>
          <w:szCs w:val="24"/>
        </w:rPr>
        <w:t>1、投标报价表</w:t>
      </w:r>
    </w:p>
    <w:p w14:paraId="15545050">
      <w:pPr>
        <w:pStyle w:val="2"/>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2、开标一览表</w:t>
      </w:r>
    </w:p>
    <w:p w14:paraId="117D39C7">
      <w:pPr>
        <w:pStyle w:val="2"/>
        <w:ind w:left="1199" w:leftChars="228" w:hanging="720" w:hanging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3、投标人资质（营业执照、资质证书、</w:t>
      </w:r>
      <w:r>
        <w:rPr>
          <w:rFonts w:hint="eastAsia" w:asciiTheme="minorEastAsia" w:hAnsiTheme="minorEastAsia" w:eastAsiaTheme="minorEastAsia" w:cstheme="minorEastAsia"/>
          <w:color w:val="000000"/>
          <w:sz w:val="24"/>
          <w:szCs w:val="24"/>
          <w:lang w:val="en-US" w:eastAsia="zh-CN"/>
        </w:rPr>
        <w:t>安全</w:t>
      </w:r>
      <w:r>
        <w:rPr>
          <w:rFonts w:hint="eastAsia" w:asciiTheme="minorEastAsia" w:hAnsiTheme="minorEastAsia" w:eastAsiaTheme="minorEastAsia" w:cstheme="minorEastAsia"/>
          <w:color w:val="000000"/>
          <w:sz w:val="24"/>
          <w:szCs w:val="24"/>
        </w:rPr>
        <w:t>生产许可证）</w:t>
      </w:r>
    </w:p>
    <w:p w14:paraId="63C57A9D">
      <w:pPr>
        <w:pStyle w:val="2"/>
        <w:ind w:left="1198" w:leftChars="342" w:hanging="480" w:hanging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color w:val="000000"/>
        </w:rPr>
      </w:pPr>
      <w:r>
        <w:rPr>
          <w:rFonts w:hint="eastAsia" w:cs="Arial"/>
        </w:rPr>
        <w:t xml:space="preserve">以上材料全部加盖公章及需要时加盖法人章，按规定要求进行密封。 </w:t>
      </w:r>
    </w:p>
    <w:p w14:paraId="27E6F4F8">
      <w:pPr>
        <w:pStyle w:val="2"/>
        <w:ind w:firstLine="482"/>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b/>
          <w:bCs/>
          <w:color w:val="000000"/>
          <w:sz w:val="24"/>
          <w:szCs w:val="24"/>
        </w:rPr>
        <w:t>五</w:t>
      </w:r>
      <w:r>
        <w:rPr>
          <w:rFonts w:hint="eastAsia" w:asciiTheme="minorEastAsia" w:hAnsiTheme="minorEastAsia" w:eastAsiaTheme="minorEastAsia" w:cstheme="minorEastAsia"/>
          <w:b/>
          <w:bCs/>
          <w:color w:val="000000"/>
          <w:sz w:val="24"/>
          <w:szCs w:val="24"/>
          <w:lang w:val="zh-CN"/>
        </w:rPr>
        <w:t>、评标办法</w:t>
      </w:r>
      <w:r>
        <w:rPr>
          <w:rFonts w:hint="eastAsia" w:asciiTheme="minorEastAsia" w:hAnsiTheme="minorEastAsia" w:eastAsiaTheme="minorEastAsia" w:cstheme="minorEastAsia"/>
          <w:color w:val="000000"/>
          <w:sz w:val="24"/>
          <w:szCs w:val="24"/>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1、有效投标单位必须三家以上。</w:t>
      </w:r>
    </w:p>
    <w:p w14:paraId="47D985B2">
      <w:pPr>
        <w:pStyle w:val="2"/>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2、采用固定单价报价。</w:t>
      </w:r>
    </w:p>
    <w:p w14:paraId="3E1BE7C5">
      <w:pPr>
        <w:pStyle w:val="2"/>
        <w:ind w:firstLine="720" w:firstLine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3、原则上第三轮报价最低单位为中标候选人。</w:t>
      </w:r>
    </w:p>
    <w:p w14:paraId="5FD5B7A3">
      <w:pPr>
        <w:widowControl/>
        <w:spacing w:line="360" w:lineRule="auto"/>
        <w:ind w:firstLine="482" w:firstLineChars="200"/>
        <w:jc w:val="left"/>
        <w:rPr>
          <w:rFonts w:hint="eastAsia" w:asciiTheme="minorEastAsia" w:hAnsiTheme="minorEastAsia" w:cstheme="minorEastAsia"/>
          <w:b/>
          <w:bCs/>
        </w:rPr>
      </w:pPr>
      <w:r>
        <w:rPr>
          <w:rFonts w:hint="eastAsia" w:asciiTheme="minorEastAsia" w:hAnsiTheme="minorEastAsia" w:cstheme="minorEastAsia"/>
          <w:b/>
          <w:bCs/>
          <w:sz w:val="24"/>
          <w:szCs w:val="24"/>
        </w:rPr>
        <w:t>六、</w:t>
      </w:r>
      <w:r>
        <w:rPr>
          <w:rStyle w:val="11"/>
          <w:rFonts w:hint="eastAsia" w:asciiTheme="minorEastAsia" w:hAnsiTheme="minorEastAsia" w:cstheme="minorEastAsia"/>
          <w:sz w:val="24"/>
          <w:szCs w:val="24"/>
        </w:rPr>
        <w:t>投标方式：</w:t>
      </w:r>
      <w:r>
        <w:rPr>
          <w:rFonts w:hint="eastAsia" w:asciiTheme="minorEastAsia" w:hAnsi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于</w:t>
      </w:r>
      <w:r>
        <w:rPr>
          <w:rFonts w:hint="eastAsia" w:asciiTheme="minorEastAsia" w:hAnsiTheme="minorEastAsia" w:cstheme="minorEastAsia"/>
          <w:color w:val="auto"/>
          <w:sz w:val="24"/>
          <w:szCs w:val="24"/>
        </w:rPr>
        <w:t>2026年</w:t>
      </w:r>
      <w:r>
        <w:rPr>
          <w:rFonts w:hint="eastAsia" w:asciiTheme="minorEastAsia" w:hAnsiTheme="minorEastAsia" w:cstheme="minorEastAsia"/>
          <w:color w:val="auto"/>
          <w:sz w:val="24"/>
          <w:szCs w:val="24"/>
          <w:lang w:val="en-US" w:eastAsia="zh-CN"/>
        </w:rPr>
        <w:t>7</w:t>
      </w:r>
      <w:r>
        <w:rPr>
          <w:rFonts w:hint="eastAsia" w:asciiTheme="minorEastAsia" w:hAnsiTheme="minorEastAsia" w:cstheme="minorEastAsia"/>
          <w:color w:val="auto"/>
          <w:sz w:val="24"/>
          <w:szCs w:val="24"/>
        </w:rPr>
        <w:t>月</w:t>
      </w:r>
      <w:r>
        <w:rPr>
          <w:rFonts w:hint="eastAsia" w:asciiTheme="minorEastAsia" w:hAnsiTheme="minorEastAsia" w:cstheme="minorEastAsia"/>
          <w:color w:val="auto"/>
          <w:sz w:val="24"/>
          <w:szCs w:val="24"/>
          <w:lang w:val="en-US" w:eastAsia="zh-CN"/>
        </w:rPr>
        <w:t>23</w:t>
      </w:r>
      <w:r>
        <w:rPr>
          <w:rFonts w:hint="eastAsia" w:asciiTheme="minorEastAsia" w:hAnsiTheme="minorEastAsia" w:cstheme="minorEastAsia"/>
          <w:color w:val="auto"/>
          <w:sz w:val="24"/>
          <w:szCs w:val="24"/>
        </w:rPr>
        <w:t>日1</w:t>
      </w:r>
      <w:r>
        <w:rPr>
          <w:rFonts w:hint="eastAsia" w:asciiTheme="minorEastAsia" w:hAnsiTheme="minorEastAsia" w:cstheme="minorEastAsia"/>
          <w:color w:val="auto"/>
          <w:sz w:val="24"/>
          <w:szCs w:val="24"/>
          <w:lang w:val="en-US" w:eastAsia="zh-CN"/>
        </w:rPr>
        <w:t>5</w:t>
      </w:r>
      <w:r>
        <w:rPr>
          <w:rFonts w:hint="eastAsia" w:asciiTheme="minorEastAsia" w:hAnsiTheme="minorEastAsia" w:cstheme="minorEastAsia"/>
          <w:color w:val="auto"/>
          <w:sz w:val="24"/>
          <w:szCs w:val="24"/>
        </w:rPr>
        <w:t>：30</w:t>
      </w:r>
      <w:r>
        <w:rPr>
          <w:rFonts w:hint="eastAsia" w:asciiTheme="minorEastAsia" w:hAnsiTheme="minorEastAsia" w:cstheme="minorEastAsia"/>
          <w:sz w:val="24"/>
          <w:szCs w:val="24"/>
        </w:rPr>
        <w:t xml:space="preserve">点携带书面投标报价材料至辰胜集成科技股份有限公司会议室投标。逾期未参加视为自动弃权。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1、具备法律主体资格（资质、安全生产许可证），具有独立订立及履行合同的能力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w:t>
      </w:r>
      <w:r>
        <w:rPr>
          <w:rFonts w:hint="eastAsia" w:asciiTheme="minorEastAsia" w:hAnsiTheme="minorEastAsia" w:eastAsiaTheme="minorEastAsia" w:cstheme="minorEastAsia"/>
          <w:lang w:val="en-US" w:eastAsia="zh-CN"/>
        </w:rPr>
        <w:t>邀请招标及</w:t>
      </w:r>
      <w:r>
        <w:rPr>
          <w:rFonts w:hint="eastAsia" w:asciiTheme="minorEastAsia" w:hAnsiTheme="minorEastAsia" w:eastAsiaTheme="minorEastAsia" w:cstheme="minorEastAsia"/>
        </w:rPr>
        <w:t>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八、废标处理</w:t>
      </w:r>
    </w:p>
    <w:p w14:paraId="74D696A9">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1、投标人不得私自修改招标文件内容，否则作为废标处理；</w:t>
      </w:r>
    </w:p>
    <w:p w14:paraId="13891BFA">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2、投标人未按规定时间投标的作为废标处理；</w:t>
      </w:r>
    </w:p>
    <w:p w14:paraId="215E3714">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3、投标人公司为分公司按照废标处理；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九、招标要求：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2、招标时间定于</w:t>
      </w:r>
      <w:r>
        <w:rPr>
          <w:rFonts w:hint="eastAsia" w:asciiTheme="minorEastAsia" w:hAnsiTheme="minorEastAsia" w:cstheme="minorEastAsia"/>
          <w:color w:val="auto"/>
        </w:rPr>
        <w:t>2026年</w:t>
      </w:r>
      <w:r>
        <w:rPr>
          <w:rFonts w:hint="eastAsia" w:asciiTheme="minorEastAsia" w:hAnsiTheme="minorEastAsia" w:cstheme="minorEastAsia"/>
          <w:color w:val="auto"/>
          <w:lang w:val="en-US" w:eastAsia="zh-CN"/>
        </w:rPr>
        <w:t>7</w:t>
      </w:r>
      <w:r>
        <w:rPr>
          <w:rFonts w:hint="eastAsia" w:asciiTheme="minorEastAsia" w:hAnsiTheme="minorEastAsia" w:cstheme="minorEastAsia"/>
          <w:color w:val="auto"/>
        </w:rPr>
        <w:t>月</w:t>
      </w:r>
      <w:r>
        <w:rPr>
          <w:rFonts w:hint="eastAsia" w:asciiTheme="minorEastAsia" w:hAnsiTheme="minorEastAsia" w:cstheme="minorEastAsia"/>
          <w:color w:val="auto"/>
          <w:lang w:val="en-US" w:eastAsia="zh-CN"/>
        </w:rPr>
        <w:t>23</w:t>
      </w:r>
      <w:r>
        <w:rPr>
          <w:rFonts w:hint="eastAsia" w:asciiTheme="minorEastAsia" w:hAnsiTheme="minorEastAsia" w:cstheme="minorEastAsia"/>
          <w:color w:val="auto"/>
        </w:rPr>
        <w:t>日1</w:t>
      </w:r>
      <w:r>
        <w:rPr>
          <w:rFonts w:hint="eastAsia" w:asciiTheme="minorEastAsia" w:hAnsiTheme="minorEastAsia" w:cstheme="minorEastAsia"/>
          <w:color w:val="auto"/>
          <w:lang w:val="en-US" w:eastAsia="zh-CN"/>
        </w:rPr>
        <w:t>5</w:t>
      </w:r>
      <w:r>
        <w:rPr>
          <w:rFonts w:hint="eastAsia" w:asciiTheme="minorEastAsia" w:hAnsiTheme="minorEastAsia" w:cstheme="minorEastAsia"/>
          <w:color w:val="auto"/>
        </w:rPr>
        <w:t>：30点</w:t>
      </w:r>
      <w:r>
        <w:rPr>
          <w:rFonts w:hint="eastAsia" w:asciiTheme="minorEastAsia" w:hAnsiTheme="minorEastAsia" w:eastAsiaTheme="minorEastAsia" w:cstheme="minorEastAsia"/>
        </w:rPr>
        <w:t>，在辰胜集成科技股份有限公司会议室进行招标，请各位带好所有资格审查资料及报价单等原件资料，因投标人不能到现场可采取电话等方式招标，但所有资格审查资料及报价单等原件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rPr>
        <w:t>十、</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招标单位：辰胜集成科技股份有限公司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招标联系人：张荣贵；联系方式：18662363720</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2026年</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日</w:t>
      </w:r>
      <w:bookmarkStart w:id="0" w:name="_GoBack"/>
      <w:bookmarkEnd w:id="0"/>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630BB"/>
    <w:rsid w:val="0029396B"/>
    <w:rsid w:val="002A59C1"/>
    <w:rsid w:val="00310BC3"/>
    <w:rsid w:val="003279D8"/>
    <w:rsid w:val="00385037"/>
    <w:rsid w:val="0039369D"/>
    <w:rsid w:val="003B4D01"/>
    <w:rsid w:val="004375FA"/>
    <w:rsid w:val="00443DC2"/>
    <w:rsid w:val="0046088F"/>
    <w:rsid w:val="004642BB"/>
    <w:rsid w:val="004D2CD6"/>
    <w:rsid w:val="004F0368"/>
    <w:rsid w:val="0051562D"/>
    <w:rsid w:val="00546DFE"/>
    <w:rsid w:val="005814CC"/>
    <w:rsid w:val="005B4C29"/>
    <w:rsid w:val="005B54DE"/>
    <w:rsid w:val="005C0B3E"/>
    <w:rsid w:val="005C0B75"/>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A72CE"/>
    <w:rsid w:val="008B56B5"/>
    <w:rsid w:val="008C4137"/>
    <w:rsid w:val="008C6A40"/>
    <w:rsid w:val="008D3474"/>
    <w:rsid w:val="009167EA"/>
    <w:rsid w:val="00960FCD"/>
    <w:rsid w:val="009761B7"/>
    <w:rsid w:val="00992B6B"/>
    <w:rsid w:val="009D68C5"/>
    <w:rsid w:val="009E08DE"/>
    <w:rsid w:val="009E63AF"/>
    <w:rsid w:val="009F1D8B"/>
    <w:rsid w:val="00A25724"/>
    <w:rsid w:val="00A57F08"/>
    <w:rsid w:val="00A7263F"/>
    <w:rsid w:val="00A85BBA"/>
    <w:rsid w:val="00A95450"/>
    <w:rsid w:val="00AC4937"/>
    <w:rsid w:val="00AC569C"/>
    <w:rsid w:val="00AF2EB8"/>
    <w:rsid w:val="00AF7515"/>
    <w:rsid w:val="00B4186A"/>
    <w:rsid w:val="00BD6657"/>
    <w:rsid w:val="00BD7EF0"/>
    <w:rsid w:val="00C00130"/>
    <w:rsid w:val="00C1682A"/>
    <w:rsid w:val="00C36D1A"/>
    <w:rsid w:val="00C57940"/>
    <w:rsid w:val="00C768E3"/>
    <w:rsid w:val="00D0795C"/>
    <w:rsid w:val="00D63193"/>
    <w:rsid w:val="00D66A61"/>
    <w:rsid w:val="00D84F6B"/>
    <w:rsid w:val="00DD2688"/>
    <w:rsid w:val="00E4459D"/>
    <w:rsid w:val="00E52E1D"/>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671768"/>
    <w:rsid w:val="02A402DB"/>
    <w:rsid w:val="030B4D4D"/>
    <w:rsid w:val="03426DF5"/>
    <w:rsid w:val="03C9092D"/>
    <w:rsid w:val="056326BB"/>
    <w:rsid w:val="057F6DC9"/>
    <w:rsid w:val="061564D1"/>
    <w:rsid w:val="06305648"/>
    <w:rsid w:val="063E690D"/>
    <w:rsid w:val="06476272"/>
    <w:rsid w:val="067D3E1F"/>
    <w:rsid w:val="06947239"/>
    <w:rsid w:val="06C70A28"/>
    <w:rsid w:val="078169F8"/>
    <w:rsid w:val="07F95559"/>
    <w:rsid w:val="081110D4"/>
    <w:rsid w:val="08234384"/>
    <w:rsid w:val="082F24A5"/>
    <w:rsid w:val="083131FB"/>
    <w:rsid w:val="084E15E9"/>
    <w:rsid w:val="08584373"/>
    <w:rsid w:val="09D27E0F"/>
    <w:rsid w:val="0A71587A"/>
    <w:rsid w:val="0A7768D1"/>
    <w:rsid w:val="0B390D96"/>
    <w:rsid w:val="0B8233B3"/>
    <w:rsid w:val="0B9B5B95"/>
    <w:rsid w:val="0D417D8B"/>
    <w:rsid w:val="0D752B10"/>
    <w:rsid w:val="0E362582"/>
    <w:rsid w:val="0E59752E"/>
    <w:rsid w:val="0E77454F"/>
    <w:rsid w:val="0E8A2A67"/>
    <w:rsid w:val="0EF44384"/>
    <w:rsid w:val="0F3E0DB4"/>
    <w:rsid w:val="0FE1776C"/>
    <w:rsid w:val="101F2E80"/>
    <w:rsid w:val="10A05A21"/>
    <w:rsid w:val="11797E46"/>
    <w:rsid w:val="11CB0306"/>
    <w:rsid w:val="12492C39"/>
    <w:rsid w:val="126136D2"/>
    <w:rsid w:val="127C7E7F"/>
    <w:rsid w:val="1343000A"/>
    <w:rsid w:val="147E4624"/>
    <w:rsid w:val="15544A94"/>
    <w:rsid w:val="157974FB"/>
    <w:rsid w:val="166164A8"/>
    <w:rsid w:val="17C11206"/>
    <w:rsid w:val="17F87200"/>
    <w:rsid w:val="180C0DB5"/>
    <w:rsid w:val="18361523"/>
    <w:rsid w:val="189F1804"/>
    <w:rsid w:val="18AB3BE5"/>
    <w:rsid w:val="18C4126B"/>
    <w:rsid w:val="18F670DD"/>
    <w:rsid w:val="194C7751"/>
    <w:rsid w:val="1A6675ED"/>
    <w:rsid w:val="1BAE69CC"/>
    <w:rsid w:val="1C163DC6"/>
    <w:rsid w:val="1D337815"/>
    <w:rsid w:val="1E1B3BAF"/>
    <w:rsid w:val="1E601A36"/>
    <w:rsid w:val="1E7D709E"/>
    <w:rsid w:val="1E901DC9"/>
    <w:rsid w:val="1E9B2426"/>
    <w:rsid w:val="1ECB3BB8"/>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8C72DDD"/>
    <w:rsid w:val="2A3A563F"/>
    <w:rsid w:val="2AF13A06"/>
    <w:rsid w:val="2B406E77"/>
    <w:rsid w:val="2B4B4CC8"/>
    <w:rsid w:val="2C3E7DB7"/>
    <w:rsid w:val="2C8763E0"/>
    <w:rsid w:val="2C967C7C"/>
    <w:rsid w:val="2D76604C"/>
    <w:rsid w:val="2D8A4634"/>
    <w:rsid w:val="2DE80197"/>
    <w:rsid w:val="2E0371A9"/>
    <w:rsid w:val="2F054932"/>
    <w:rsid w:val="2FCD0A67"/>
    <w:rsid w:val="308C2FDE"/>
    <w:rsid w:val="308D553F"/>
    <w:rsid w:val="30B80E83"/>
    <w:rsid w:val="30BA448B"/>
    <w:rsid w:val="31740C2A"/>
    <w:rsid w:val="31CF4AB1"/>
    <w:rsid w:val="322D1977"/>
    <w:rsid w:val="32415A76"/>
    <w:rsid w:val="32FB6028"/>
    <w:rsid w:val="333A64EF"/>
    <w:rsid w:val="335D1F16"/>
    <w:rsid w:val="33C550E6"/>
    <w:rsid w:val="33EC5279"/>
    <w:rsid w:val="344F03F1"/>
    <w:rsid w:val="346059C8"/>
    <w:rsid w:val="346F2C93"/>
    <w:rsid w:val="35207B69"/>
    <w:rsid w:val="35256A2B"/>
    <w:rsid w:val="35C54173"/>
    <w:rsid w:val="36231DDC"/>
    <w:rsid w:val="37595978"/>
    <w:rsid w:val="37916F6C"/>
    <w:rsid w:val="379B58CA"/>
    <w:rsid w:val="38B5751A"/>
    <w:rsid w:val="38E0369C"/>
    <w:rsid w:val="3AC76960"/>
    <w:rsid w:val="3B660B98"/>
    <w:rsid w:val="3BAE2878"/>
    <w:rsid w:val="3C5E64A0"/>
    <w:rsid w:val="3CFB312B"/>
    <w:rsid w:val="3D13466A"/>
    <w:rsid w:val="3D2671CB"/>
    <w:rsid w:val="3D436DE2"/>
    <w:rsid w:val="3DBE6DB2"/>
    <w:rsid w:val="3E9926CE"/>
    <w:rsid w:val="3F036E3F"/>
    <w:rsid w:val="3F194AE5"/>
    <w:rsid w:val="3F1D3AAE"/>
    <w:rsid w:val="3F244C1C"/>
    <w:rsid w:val="3FA75CAA"/>
    <w:rsid w:val="3FB83D9A"/>
    <w:rsid w:val="40A841DA"/>
    <w:rsid w:val="414E4656"/>
    <w:rsid w:val="41CF4659"/>
    <w:rsid w:val="4252015C"/>
    <w:rsid w:val="42730A01"/>
    <w:rsid w:val="43110647"/>
    <w:rsid w:val="43CC4366"/>
    <w:rsid w:val="44424C50"/>
    <w:rsid w:val="44F4565A"/>
    <w:rsid w:val="45BC549B"/>
    <w:rsid w:val="45F4643C"/>
    <w:rsid w:val="46EC35B7"/>
    <w:rsid w:val="47B96D18"/>
    <w:rsid w:val="47E349BA"/>
    <w:rsid w:val="47E36768"/>
    <w:rsid w:val="48EA1118"/>
    <w:rsid w:val="496B4306"/>
    <w:rsid w:val="497B35EB"/>
    <w:rsid w:val="49A76CC3"/>
    <w:rsid w:val="4A1571CF"/>
    <w:rsid w:val="4A2F0B40"/>
    <w:rsid w:val="4A4060F4"/>
    <w:rsid w:val="4BD468D1"/>
    <w:rsid w:val="4C783700"/>
    <w:rsid w:val="4CC738A7"/>
    <w:rsid w:val="4D272B4C"/>
    <w:rsid w:val="4D5A74CD"/>
    <w:rsid w:val="4DF64A33"/>
    <w:rsid w:val="4F5344A7"/>
    <w:rsid w:val="4F8559E5"/>
    <w:rsid w:val="4FDE1B25"/>
    <w:rsid w:val="5000200F"/>
    <w:rsid w:val="5098083C"/>
    <w:rsid w:val="50E57711"/>
    <w:rsid w:val="51303DF9"/>
    <w:rsid w:val="51BC5826"/>
    <w:rsid w:val="52854FEC"/>
    <w:rsid w:val="539C2350"/>
    <w:rsid w:val="53EB70D0"/>
    <w:rsid w:val="53FD3187"/>
    <w:rsid w:val="540F41AE"/>
    <w:rsid w:val="54F238A9"/>
    <w:rsid w:val="54FC1BD7"/>
    <w:rsid w:val="5533367F"/>
    <w:rsid w:val="55741E7C"/>
    <w:rsid w:val="560B206E"/>
    <w:rsid w:val="570D735E"/>
    <w:rsid w:val="576B0606"/>
    <w:rsid w:val="57C978C6"/>
    <w:rsid w:val="57F02FA8"/>
    <w:rsid w:val="581A05FB"/>
    <w:rsid w:val="58CD06CF"/>
    <w:rsid w:val="59037B6C"/>
    <w:rsid w:val="593F08DF"/>
    <w:rsid w:val="59491933"/>
    <w:rsid w:val="59870EA8"/>
    <w:rsid w:val="5A113AB1"/>
    <w:rsid w:val="5B502364"/>
    <w:rsid w:val="5B5A2D8E"/>
    <w:rsid w:val="5B6905B9"/>
    <w:rsid w:val="5B9112BC"/>
    <w:rsid w:val="5BC21BFB"/>
    <w:rsid w:val="5BD10969"/>
    <w:rsid w:val="5C0D6B64"/>
    <w:rsid w:val="5C717124"/>
    <w:rsid w:val="5CE76B7C"/>
    <w:rsid w:val="5DB04EE7"/>
    <w:rsid w:val="5DF64F6E"/>
    <w:rsid w:val="5EBF2E66"/>
    <w:rsid w:val="5ECB022A"/>
    <w:rsid w:val="5ED74D86"/>
    <w:rsid w:val="5F5E39C7"/>
    <w:rsid w:val="5F7158EE"/>
    <w:rsid w:val="5FAF21C4"/>
    <w:rsid w:val="5FEF7F48"/>
    <w:rsid w:val="600D3460"/>
    <w:rsid w:val="602E29C3"/>
    <w:rsid w:val="60EE51AF"/>
    <w:rsid w:val="61865990"/>
    <w:rsid w:val="61E667EC"/>
    <w:rsid w:val="62980896"/>
    <w:rsid w:val="62BB7CF7"/>
    <w:rsid w:val="62C144A2"/>
    <w:rsid w:val="631E2751"/>
    <w:rsid w:val="657607C4"/>
    <w:rsid w:val="658C346E"/>
    <w:rsid w:val="66816415"/>
    <w:rsid w:val="66A05697"/>
    <w:rsid w:val="68FF6A50"/>
    <w:rsid w:val="693E2EAD"/>
    <w:rsid w:val="69444141"/>
    <w:rsid w:val="6B086362"/>
    <w:rsid w:val="6B901A90"/>
    <w:rsid w:val="6BA772BE"/>
    <w:rsid w:val="6CE81FA7"/>
    <w:rsid w:val="6E517A32"/>
    <w:rsid w:val="6E5C0C37"/>
    <w:rsid w:val="6F5606EC"/>
    <w:rsid w:val="6F752021"/>
    <w:rsid w:val="6F7E03CC"/>
    <w:rsid w:val="701D3E71"/>
    <w:rsid w:val="71381023"/>
    <w:rsid w:val="719217F2"/>
    <w:rsid w:val="71AB1F93"/>
    <w:rsid w:val="71BD1A60"/>
    <w:rsid w:val="72356C6F"/>
    <w:rsid w:val="7273700F"/>
    <w:rsid w:val="72975BAB"/>
    <w:rsid w:val="72AA7CFF"/>
    <w:rsid w:val="730A1A8A"/>
    <w:rsid w:val="73E57706"/>
    <w:rsid w:val="753947D5"/>
    <w:rsid w:val="76EE09BF"/>
    <w:rsid w:val="7763270E"/>
    <w:rsid w:val="79446C3A"/>
    <w:rsid w:val="798C1B9A"/>
    <w:rsid w:val="79AF255F"/>
    <w:rsid w:val="7B4864F5"/>
    <w:rsid w:val="7C0412F0"/>
    <w:rsid w:val="7C327466"/>
    <w:rsid w:val="7C5B66FF"/>
    <w:rsid w:val="7C667A70"/>
    <w:rsid w:val="7C9A3815"/>
    <w:rsid w:val="7CC9547F"/>
    <w:rsid w:val="7CD940DD"/>
    <w:rsid w:val="7D4D17D3"/>
    <w:rsid w:val="7D954C7E"/>
    <w:rsid w:val="7DC928E8"/>
    <w:rsid w:val="7DDF11A4"/>
    <w:rsid w:val="7E21356B"/>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1960</Words>
  <Characters>2039</Characters>
  <Lines>47</Lines>
  <Paragraphs>57</Paragraphs>
  <TotalTime>8</TotalTime>
  <ScaleCrop>false</ScaleCrop>
  <LinksUpToDate>false</LinksUpToDate>
  <CharactersWithSpaces>2103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张荣贵</cp:lastModifiedBy>
  <cp:lastPrinted>2024-05-21T08:29:00Z</cp:lastPrinted>
  <dcterms:modified xsi:type="dcterms:W3CDTF">2026-07-16T11:57:59Z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F49FF1F36A444F319C058ED4F10659AA</vt:lpwstr>
  </property>
  <property fmtid="{D5CDD505-2E9C-101B-9397-08002B2CF9AE}" pid="4" name="KSOTemplateDocerSaveRecord">
    <vt:lpwstr>eyJoZGlkIjoiNjFhNWFlNDFiMjI3MTZmYzJmMjkxYjYzODU1YzkyOTkiLCJ1c2VySWQiOiIzNzc2NDc2MzgifQ==</vt:lpwstr>
  </property>
</Properties>
</file>